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E2" w:rsidRDefault="00377CE2" w:rsidP="00377CE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9610497"/>
      <w:r w:rsidRPr="002E2F98">
        <w:rPr>
          <w:rFonts w:ascii="Times New Roman" w:hAnsi="Times New Roman" w:cs="Times New Roman"/>
          <w:b/>
          <w:sz w:val="28"/>
          <w:szCs w:val="28"/>
        </w:rPr>
        <w:t>Cost Accounting for Decision-making</w:t>
      </w:r>
    </w:p>
    <w:p w:rsidR="00377CE2" w:rsidRDefault="00377CE2" w:rsidP="00377CE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 Study</w:t>
      </w:r>
    </w:p>
    <w:p w:rsidR="008B2B6C" w:rsidRPr="00F418BE" w:rsidRDefault="008B2B6C" w:rsidP="008B2B6C">
      <w:pPr>
        <w:adjustRightInd w:val="0"/>
        <w:snapToGrid w:val="0"/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u w:val="single"/>
        </w:rPr>
      </w:pPr>
      <w:bookmarkStart w:id="1" w:name="_Hlk491347544"/>
      <w:bookmarkEnd w:id="0"/>
      <w:r w:rsidRPr="00727EE4">
        <w:rPr>
          <w:rFonts w:ascii="Times New Roman" w:hAnsi="Times New Roman" w:cs="Times New Roman"/>
          <w:sz w:val="28"/>
          <w:szCs w:val="28"/>
          <w:u w:val="single"/>
        </w:rPr>
        <w:t>Questions</w:t>
      </w:r>
    </w:p>
    <w:p w:rsidR="00377CE2" w:rsidRDefault="00377CE2" w:rsidP="00B9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970" w:rsidRDefault="006125BA" w:rsidP="00B95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Citizen Association (SCA) is a </w:t>
      </w:r>
      <w:r w:rsidR="00881C18">
        <w:rPr>
          <w:rFonts w:ascii="Times New Roman" w:hAnsi="Times New Roman" w:cs="Times New Roman"/>
          <w:sz w:val="24"/>
          <w:szCs w:val="24"/>
        </w:rPr>
        <w:t xml:space="preserve">non-profit making organization in Hong Kong. </w:t>
      </w:r>
      <w:bookmarkEnd w:id="1"/>
      <w:r w:rsidR="00881C18">
        <w:rPr>
          <w:rFonts w:ascii="Times New Roman" w:hAnsi="Times New Roman" w:cs="Times New Roman"/>
          <w:sz w:val="24"/>
          <w:szCs w:val="24"/>
        </w:rPr>
        <w:t xml:space="preserve">Its mission is to enhance the living quality of the elderly in the community through </w:t>
      </w:r>
      <w:r w:rsidR="001A70D2">
        <w:rPr>
          <w:rFonts w:ascii="Times New Roman" w:hAnsi="Times New Roman" w:cs="Times New Roman"/>
          <w:sz w:val="24"/>
          <w:szCs w:val="24"/>
        </w:rPr>
        <w:t xml:space="preserve">using </w:t>
      </w:r>
      <w:r w:rsidR="00881C18">
        <w:rPr>
          <w:rFonts w:ascii="Times New Roman" w:hAnsi="Times New Roman" w:cs="Times New Roman"/>
          <w:sz w:val="24"/>
          <w:szCs w:val="24"/>
        </w:rPr>
        <w:t>technology and people-oriented services. Three major services are provide</w:t>
      </w:r>
      <w:r w:rsidR="00155A7A">
        <w:rPr>
          <w:rFonts w:ascii="Times New Roman" w:hAnsi="Times New Roman" w:cs="Times New Roman"/>
          <w:sz w:val="24"/>
          <w:szCs w:val="24"/>
        </w:rPr>
        <w:t>d for seniors.</w:t>
      </w:r>
    </w:p>
    <w:p w:rsidR="00155A7A" w:rsidRPr="00155A7A" w:rsidRDefault="00155A7A" w:rsidP="00B95F2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A7A">
        <w:rPr>
          <w:rFonts w:ascii="Times New Roman" w:hAnsi="Times New Roman" w:cs="Times New Roman"/>
          <w:sz w:val="24"/>
          <w:szCs w:val="24"/>
        </w:rPr>
        <w:t xml:space="preserve">Call and Care </w:t>
      </w:r>
      <w:r w:rsidR="00B95F2D">
        <w:rPr>
          <w:rFonts w:ascii="Times New Roman" w:hAnsi="Times New Roman" w:cs="Times New Roman"/>
          <w:sz w:val="24"/>
          <w:szCs w:val="24"/>
        </w:rPr>
        <w:t>s</w:t>
      </w:r>
      <w:r w:rsidRPr="00155A7A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72A">
        <w:rPr>
          <w:rFonts w:ascii="Times New Roman" w:hAnsi="Times New Roman" w:cs="Times New Roman"/>
          <w:sz w:val="24"/>
          <w:szCs w:val="24"/>
        </w:rPr>
        <w:t>(CC)</w:t>
      </w:r>
      <w:r>
        <w:rPr>
          <w:rFonts w:ascii="Times New Roman" w:hAnsi="Times New Roman" w:cs="Times New Roman"/>
          <w:sz w:val="24"/>
          <w:szCs w:val="24"/>
        </w:rPr>
        <w:t xml:space="preserve">– It </w:t>
      </w:r>
      <w:r w:rsidR="005155B6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 xml:space="preserve">a territory-wide 24-hour </w:t>
      </w:r>
      <w:r w:rsidR="00213FEE">
        <w:rPr>
          <w:rFonts w:ascii="Times New Roman" w:hAnsi="Times New Roman" w:cs="Times New Roman"/>
          <w:sz w:val="24"/>
          <w:szCs w:val="24"/>
        </w:rPr>
        <w:t>support and caring services for the</w:t>
      </w:r>
      <w:r>
        <w:rPr>
          <w:rFonts w:ascii="Times New Roman" w:hAnsi="Times New Roman" w:cs="Times New Roman"/>
          <w:sz w:val="24"/>
          <w:szCs w:val="24"/>
        </w:rPr>
        <w:t xml:space="preserve"> elderly and </w:t>
      </w:r>
      <w:r w:rsidR="00213FEE">
        <w:rPr>
          <w:rFonts w:ascii="Times New Roman" w:hAnsi="Times New Roman" w:cs="Times New Roman"/>
          <w:sz w:val="24"/>
          <w:szCs w:val="24"/>
        </w:rPr>
        <w:t>needy.</w:t>
      </w:r>
    </w:p>
    <w:p w:rsidR="00155A7A" w:rsidRPr="00155A7A" w:rsidRDefault="00155A7A" w:rsidP="00B95F2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Easy Home </w:t>
      </w:r>
      <w:r w:rsidR="00B95F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ervice </w:t>
      </w:r>
      <w:r w:rsidR="0064172A">
        <w:rPr>
          <w:rFonts w:ascii="Times New Roman" w:hAnsi="Times New Roman" w:cs="Times New Roman"/>
          <w:sz w:val="24"/>
          <w:szCs w:val="24"/>
        </w:rPr>
        <w:t>(EH)</w:t>
      </w:r>
      <w:r>
        <w:rPr>
          <w:rFonts w:ascii="Times New Roman" w:hAnsi="Times New Roman" w:cs="Times New Roman"/>
          <w:sz w:val="24"/>
          <w:szCs w:val="24"/>
        </w:rPr>
        <w:t xml:space="preserve">– It provides </w:t>
      </w:r>
      <w:r w:rsidR="00213FEE">
        <w:rPr>
          <w:rFonts w:ascii="Times New Roman" w:hAnsi="Times New Roman" w:cs="Times New Roman"/>
          <w:sz w:val="24"/>
          <w:szCs w:val="24"/>
        </w:rPr>
        <w:t>high quality, reliable and comprehensive home care services for the silver-aged group and their families. The services include integrated discharge support, home care planning, recover training at home, household supportin</w:t>
      </w:r>
      <w:r w:rsidR="007E2412">
        <w:rPr>
          <w:rFonts w:ascii="Times New Roman" w:hAnsi="Times New Roman" w:cs="Times New Roman"/>
          <w:sz w:val="24"/>
          <w:szCs w:val="24"/>
        </w:rPr>
        <w:t>g</w:t>
      </w:r>
      <w:r w:rsidR="00213FEE">
        <w:rPr>
          <w:rFonts w:ascii="Times New Roman" w:hAnsi="Times New Roman" w:cs="Times New Roman"/>
          <w:sz w:val="24"/>
          <w:szCs w:val="24"/>
        </w:rPr>
        <w:t xml:space="preserve"> and caring services.</w:t>
      </w:r>
    </w:p>
    <w:p w:rsidR="00155A7A" w:rsidRPr="00620CE7" w:rsidRDefault="00213FEE" w:rsidP="00B95F2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Life Book </w:t>
      </w:r>
      <w:r w:rsidR="005155B6" w:rsidRPr="005155B6">
        <w:rPr>
          <w:rFonts w:ascii="Times New Roman" w:hAnsi="Times New Roman" w:cs="Times New Roman"/>
          <w:sz w:val="24"/>
          <w:szCs w:val="24"/>
        </w:rPr>
        <w:t xml:space="preserve">Personalized </w:t>
      </w:r>
      <w:r>
        <w:rPr>
          <w:rFonts w:ascii="Times New Roman" w:hAnsi="Times New Roman" w:cs="Times New Roman"/>
          <w:sz w:val="24"/>
          <w:szCs w:val="24"/>
        </w:rPr>
        <w:t>Printing</w:t>
      </w:r>
      <w:r w:rsidR="005155B6" w:rsidRPr="005155B6">
        <w:rPr>
          <w:rFonts w:ascii="Times New Roman" w:hAnsi="Times New Roman" w:cs="Times New Roman"/>
          <w:sz w:val="24"/>
          <w:szCs w:val="24"/>
        </w:rPr>
        <w:t xml:space="preserve"> </w:t>
      </w:r>
      <w:r w:rsidR="00B95F2D">
        <w:rPr>
          <w:rFonts w:ascii="Times New Roman" w:hAnsi="Times New Roman" w:cs="Times New Roman"/>
          <w:sz w:val="24"/>
          <w:szCs w:val="24"/>
        </w:rPr>
        <w:t>s</w:t>
      </w:r>
      <w:r w:rsidR="005155B6" w:rsidRPr="005155B6">
        <w:rPr>
          <w:rFonts w:ascii="Times New Roman" w:hAnsi="Times New Roman" w:cs="Times New Roman"/>
          <w:sz w:val="24"/>
          <w:szCs w:val="24"/>
        </w:rPr>
        <w:t xml:space="preserve">ervice </w:t>
      </w:r>
      <w:r w:rsidR="0064172A">
        <w:rPr>
          <w:rFonts w:ascii="Times New Roman" w:hAnsi="Times New Roman" w:cs="Times New Roman"/>
          <w:sz w:val="24"/>
          <w:szCs w:val="24"/>
        </w:rPr>
        <w:t>(LBPP)</w:t>
      </w:r>
      <w:r w:rsidR="005155B6" w:rsidRPr="005155B6">
        <w:rPr>
          <w:rFonts w:ascii="Times New Roman" w:hAnsi="Times New Roman" w:cs="Times New Roman"/>
          <w:sz w:val="24"/>
          <w:szCs w:val="24"/>
        </w:rPr>
        <w:t xml:space="preserve">– It </w:t>
      </w:r>
      <w:r>
        <w:rPr>
          <w:rFonts w:ascii="Times New Roman" w:hAnsi="Times New Roman" w:cs="Times New Roman"/>
          <w:sz w:val="24"/>
          <w:szCs w:val="24"/>
        </w:rPr>
        <w:t xml:space="preserve">enables </w:t>
      </w:r>
      <w:r w:rsidR="00FE7EF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elder</w:t>
      </w:r>
      <w:r w:rsidR="00FE7EFC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to record their life experience and wisdom.</w:t>
      </w:r>
    </w:p>
    <w:p w:rsidR="00620CE7" w:rsidRDefault="00AE13CC" w:rsidP="0021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3FEE" w:rsidRPr="00213FEE">
        <w:rPr>
          <w:rFonts w:ascii="Times New Roman" w:hAnsi="Times New Roman" w:cs="Times New Roman"/>
          <w:sz w:val="24"/>
          <w:szCs w:val="24"/>
        </w:rPr>
        <w:t xml:space="preserve">evenue and expenses for </w:t>
      </w: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213FEE" w:rsidRPr="00213FEE">
        <w:rPr>
          <w:rFonts w:ascii="Times New Roman" w:hAnsi="Times New Roman" w:cs="Times New Roman"/>
          <w:sz w:val="24"/>
          <w:szCs w:val="24"/>
        </w:rPr>
        <w:t xml:space="preserve">year </w:t>
      </w:r>
      <w:r w:rsidR="00213FEE">
        <w:rPr>
          <w:rFonts w:ascii="Times New Roman" w:hAnsi="Times New Roman" w:cs="Times New Roman"/>
          <w:sz w:val="24"/>
          <w:szCs w:val="24"/>
        </w:rPr>
        <w:t>are as follows: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05"/>
      </w:tblGrid>
      <w:tr w:rsidR="00F37866" w:rsidTr="000E220C">
        <w:tc>
          <w:tcPr>
            <w:tcW w:w="5949" w:type="dxa"/>
          </w:tcPr>
          <w:p w:rsidR="00F37866" w:rsidRDefault="00F37866" w:rsidP="0021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1345012"/>
            <w:bookmarkStart w:id="3" w:name="_Hlk491174679"/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LBPP</w:t>
            </w:r>
          </w:p>
        </w:tc>
        <w:tc>
          <w:tcPr>
            <w:tcW w:w="1105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37866" w:rsidTr="000E220C">
        <w:tc>
          <w:tcPr>
            <w:tcW w:w="5949" w:type="dxa"/>
          </w:tcPr>
          <w:p w:rsidR="00F37866" w:rsidRDefault="00F37866" w:rsidP="0021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05" w:type="dxa"/>
          </w:tcPr>
          <w:p w:rsidR="00F37866" w:rsidRDefault="00F37866" w:rsidP="00F3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F37866" w:rsidTr="000E220C">
        <w:tc>
          <w:tcPr>
            <w:tcW w:w="5949" w:type="dxa"/>
          </w:tcPr>
          <w:p w:rsidR="00F37866" w:rsidRDefault="00F37866" w:rsidP="00821B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</w:t>
            </w:r>
            <w:r w:rsidR="00B95F2D">
              <w:rPr>
                <w:rFonts w:ascii="Times New Roman" w:hAnsi="Times New Roman" w:cs="Times New Roman"/>
                <w:sz w:val="24"/>
                <w:szCs w:val="24"/>
              </w:rPr>
              <w:t xml:space="preserve"> (Includes donation from that service)</w:t>
            </w:r>
          </w:p>
        </w:tc>
        <w:tc>
          <w:tcPr>
            <w:tcW w:w="1134" w:type="dxa"/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F37866" w:rsidTr="000E220C">
        <w:tc>
          <w:tcPr>
            <w:tcW w:w="5949" w:type="dxa"/>
          </w:tcPr>
          <w:p w:rsidR="00F37866" w:rsidRDefault="00F37866" w:rsidP="00821B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Less: Variable </w:t>
            </w:r>
            <w:r w:rsidR="003E5C0A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37866" w:rsidTr="000E220C">
        <w:tc>
          <w:tcPr>
            <w:tcW w:w="5949" w:type="dxa"/>
          </w:tcPr>
          <w:p w:rsidR="00F37866" w:rsidRDefault="00F37866" w:rsidP="00821B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margin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bookmarkEnd w:id="2"/>
      <w:tr w:rsidR="00F37866" w:rsidTr="000E220C">
        <w:tc>
          <w:tcPr>
            <w:tcW w:w="5949" w:type="dxa"/>
          </w:tcPr>
          <w:p w:rsidR="00F37866" w:rsidRDefault="00F37866" w:rsidP="00821B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Less: </w:t>
            </w:r>
            <w:r w:rsidR="003E5C0A">
              <w:rPr>
                <w:rFonts w:ascii="Times New Roman" w:hAnsi="Times New Roman" w:cs="Times New Roman"/>
                <w:sz w:val="24"/>
                <w:szCs w:val="24"/>
              </w:rPr>
              <w:t>Fixed expenses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37866" w:rsidTr="000E220C">
        <w:tc>
          <w:tcPr>
            <w:tcW w:w="5949" w:type="dxa"/>
          </w:tcPr>
          <w:p w:rsidR="00F37866" w:rsidRDefault="003E5C0A" w:rsidP="00821B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37866" w:rsidRDefault="002F07BA" w:rsidP="002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1105" w:type="dxa"/>
            <w:tcBorders>
              <w:top w:val="single" w:sz="4" w:space="0" w:color="auto"/>
              <w:bottom w:val="double" w:sz="4" w:space="0" w:color="auto"/>
            </w:tcBorders>
          </w:tcPr>
          <w:p w:rsidR="00F37866" w:rsidRDefault="00445000" w:rsidP="004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bookmarkEnd w:id="3"/>
    </w:tbl>
    <w:p w:rsidR="003E5C0A" w:rsidRDefault="003E5C0A" w:rsidP="00213FEE">
      <w:pPr>
        <w:rPr>
          <w:rFonts w:ascii="Times New Roman" w:hAnsi="Times New Roman" w:cs="Times New Roman"/>
          <w:sz w:val="24"/>
          <w:szCs w:val="24"/>
        </w:rPr>
      </w:pPr>
    </w:p>
    <w:p w:rsidR="00213FEE" w:rsidRDefault="007E2412" w:rsidP="0021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economic downturn, t</w:t>
      </w:r>
      <w:r w:rsidR="0064172A">
        <w:rPr>
          <w:rFonts w:ascii="Times New Roman" w:hAnsi="Times New Roman" w:cs="Times New Roman"/>
          <w:sz w:val="24"/>
          <w:szCs w:val="24"/>
        </w:rPr>
        <w:t xml:space="preserve">he </w:t>
      </w:r>
      <w:r w:rsidR="0064172A" w:rsidRPr="0064172A">
        <w:rPr>
          <w:rFonts w:ascii="Times New Roman" w:hAnsi="Times New Roman" w:cs="Times New Roman"/>
          <w:sz w:val="24"/>
          <w:szCs w:val="24"/>
        </w:rPr>
        <w:t>Chief Executive Officer</w:t>
      </w:r>
      <w:r>
        <w:rPr>
          <w:rFonts w:ascii="Times New Roman" w:hAnsi="Times New Roman" w:cs="Times New Roman"/>
          <w:sz w:val="24"/>
          <w:szCs w:val="24"/>
        </w:rPr>
        <w:t xml:space="preserve"> of SCA, Tommy Yeung, is concerned about the organization’s financial position. He wants to </w:t>
      </w:r>
      <w:r w:rsidR="00B95F2D">
        <w:rPr>
          <w:rFonts w:ascii="Times New Roman" w:hAnsi="Times New Roman" w:cs="Times New Roman"/>
          <w:sz w:val="24"/>
          <w:szCs w:val="24"/>
        </w:rPr>
        <w:t>save some resources</w:t>
      </w:r>
      <w:r>
        <w:rPr>
          <w:rFonts w:ascii="Times New Roman" w:hAnsi="Times New Roman" w:cs="Times New Roman"/>
          <w:sz w:val="24"/>
          <w:szCs w:val="24"/>
        </w:rPr>
        <w:t xml:space="preserve"> to prepare for the coming recession. After seeing the a</w:t>
      </w:r>
      <w:r w:rsidR="0064172A">
        <w:rPr>
          <w:rFonts w:ascii="Times New Roman" w:hAnsi="Times New Roman" w:cs="Times New Roman"/>
          <w:sz w:val="24"/>
          <w:szCs w:val="24"/>
        </w:rPr>
        <w:t xml:space="preserve">bove </w:t>
      </w:r>
      <w:r w:rsidR="00B95F2D">
        <w:rPr>
          <w:rFonts w:ascii="Times New Roman" w:hAnsi="Times New Roman" w:cs="Times New Roman"/>
          <w:sz w:val="24"/>
          <w:szCs w:val="24"/>
        </w:rPr>
        <w:t>data</w:t>
      </w:r>
      <w:r w:rsidR="0064172A">
        <w:rPr>
          <w:rFonts w:ascii="Times New Roman" w:hAnsi="Times New Roman" w:cs="Times New Roman"/>
          <w:sz w:val="24"/>
          <w:szCs w:val="24"/>
        </w:rPr>
        <w:t xml:space="preserve">, he considers </w:t>
      </w:r>
      <w:r>
        <w:rPr>
          <w:rFonts w:ascii="Times New Roman" w:hAnsi="Times New Roman" w:cs="Times New Roman"/>
          <w:sz w:val="24"/>
          <w:szCs w:val="24"/>
        </w:rPr>
        <w:t>drop</w:t>
      </w:r>
      <w:r w:rsidR="0064172A">
        <w:rPr>
          <w:rFonts w:ascii="Times New Roman" w:hAnsi="Times New Roman" w:cs="Times New Roman"/>
          <w:sz w:val="24"/>
          <w:szCs w:val="24"/>
        </w:rPr>
        <w:t>ping</w:t>
      </w:r>
      <w:r>
        <w:rPr>
          <w:rFonts w:ascii="Times New Roman" w:hAnsi="Times New Roman" w:cs="Times New Roman"/>
          <w:sz w:val="24"/>
          <w:szCs w:val="24"/>
        </w:rPr>
        <w:t xml:space="preserve"> the L</w:t>
      </w:r>
      <w:r w:rsidR="003E5C0A">
        <w:rPr>
          <w:rFonts w:ascii="Times New Roman" w:hAnsi="Times New Roman" w:cs="Times New Roman"/>
          <w:sz w:val="24"/>
          <w:szCs w:val="24"/>
        </w:rPr>
        <w:t>BPP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8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</w:t>
      </w:r>
      <w:r w:rsidR="0064172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172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64172A" w:rsidRDefault="003E5C0A" w:rsidP="0021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</w:t>
      </w:r>
    </w:p>
    <w:p w:rsidR="003E5C0A" w:rsidRPr="003E5C0A" w:rsidRDefault="003E5C0A" w:rsidP="003E5C0A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fixed expenses comprise the following:</w:t>
      </w: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</w:tblGrid>
      <w:tr w:rsidR="003E5C0A" w:rsidTr="000E220C">
        <w:tc>
          <w:tcPr>
            <w:tcW w:w="5387" w:type="dxa"/>
          </w:tcPr>
          <w:p w:rsidR="003E5C0A" w:rsidRDefault="003E5C0A" w:rsidP="0057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LBPP</w:t>
            </w:r>
          </w:p>
        </w:tc>
      </w:tr>
      <w:tr w:rsidR="003E5C0A" w:rsidTr="000E220C">
        <w:tc>
          <w:tcPr>
            <w:tcW w:w="5387" w:type="dxa"/>
          </w:tcPr>
          <w:p w:rsidR="003E5C0A" w:rsidRDefault="003E5C0A" w:rsidP="0057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</w:tcPr>
          <w:p w:rsidR="003E5C0A" w:rsidRDefault="003E5C0A" w:rsidP="0057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3E5C0A" w:rsidTr="000E220C">
        <w:tc>
          <w:tcPr>
            <w:tcW w:w="5387" w:type="dxa"/>
          </w:tcPr>
          <w:p w:rsidR="003E5C0A" w:rsidRDefault="003E5C0A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E5C0A" w:rsidTr="000E220C">
        <w:tc>
          <w:tcPr>
            <w:tcW w:w="5387" w:type="dxa"/>
          </w:tcPr>
          <w:p w:rsidR="003E5C0A" w:rsidRDefault="003E5C0A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134" w:type="dxa"/>
          </w:tcPr>
          <w:p w:rsidR="003E5C0A" w:rsidRDefault="002F07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5C0A" w:rsidRDefault="002F07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5C0A" w:rsidTr="000E220C">
        <w:tc>
          <w:tcPr>
            <w:tcW w:w="5387" w:type="dxa"/>
          </w:tcPr>
          <w:p w:rsidR="003E5C0A" w:rsidRDefault="00BB24F3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5C0A">
              <w:rPr>
                <w:rFonts w:ascii="Times New Roman" w:hAnsi="Times New Roman" w:cs="Times New Roman"/>
                <w:sz w:val="24"/>
                <w:szCs w:val="24"/>
              </w:rPr>
              <w:t>alaries</w:t>
            </w:r>
          </w:p>
        </w:tc>
        <w:tc>
          <w:tcPr>
            <w:tcW w:w="1134" w:type="dxa"/>
          </w:tcPr>
          <w:p w:rsidR="003E5C0A" w:rsidRDefault="002F07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E5C0A" w:rsidTr="000E220C">
        <w:tc>
          <w:tcPr>
            <w:tcW w:w="5387" w:type="dxa"/>
          </w:tcPr>
          <w:p w:rsidR="003E5C0A" w:rsidRDefault="003E5C0A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1345608"/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134" w:type="dxa"/>
          </w:tcPr>
          <w:p w:rsidR="003E5C0A" w:rsidRDefault="002F07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5C0A" w:rsidTr="000E220C">
        <w:tc>
          <w:tcPr>
            <w:tcW w:w="5387" w:type="dxa"/>
          </w:tcPr>
          <w:p w:rsidR="003E5C0A" w:rsidRDefault="003E5C0A" w:rsidP="00821B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administrative overhead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5C0A" w:rsidRDefault="000554BA" w:rsidP="0005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4"/>
    </w:tbl>
    <w:p w:rsidR="00E554A3" w:rsidRDefault="00E554A3" w:rsidP="00213FEE">
      <w:pPr>
        <w:rPr>
          <w:rFonts w:ascii="Times New Roman" w:hAnsi="Times New Roman" w:cs="Times New Roman"/>
          <w:sz w:val="24"/>
          <w:szCs w:val="24"/>
        </w:rPr>
      </w:pPr>
    </w:p>
    <w:p w:rsidR="003E5C0A" w:rsidRDefault="00BB24F3" w:rsidP="00821B7C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depreciation in LBPP is for a printing machine that is used to print </w:t>
      </w:r>
      <w:r w:rsidR="00506329">
        <w:rPr>
          <w:rFonts w:ascii="Times New Roman" w:hAnsi="Times New Roman" w:cs="Times New Roman"/>
          <w:sz w:val="24"/>
          <w:szCs w:val="24"/>
        </w:rPr>
        <w:t xml:space="preserve">the life </w:t>
      </w:r>
      <w:r>
        <w:rPr>
          <w:rFonts w:ascii="Times New Roman" w:hAnsi="Times New Roman" w:cs="Times New Roman"/>
          <w:sz w:val="24"/>
          <w:szCs w:val="24"/>
        </w:rPr>
        <w:t>books for the seniors. If this service terminates, the machine will dispose.</w:t>
      </w:r>
    </w:p>
    <w:p w:rsidR="00BB24F3" w:rsidRDefault="00BB24F3" w:rsidP="00821B7C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general administrative overhead and rent will remain the same even SCA drops LBPP service.</w:t>
      </w:r>
    </w:p>
    <w:p w:rsidR="00BB24F3" w:rsidRDefault="00BB24F3" w:rsidP="00821B7C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and salaries for LBPP will be saved if SCA drops LBPP service.</w:t>
      </w:r>
    </w:p>
    <w:p w:rsidR="00BB24F3" w:rsidRDefault="00BB24F3" w:rsidP="00BB24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B24F3" w:rsidRDefault="00BE189B" w:rsidP="00BB24F3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0554BA" w:rsidRDefault="000554BA" w:rsidP="00BB24F3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E189B" w:rsidRDefault="00FE7EFC" w:rsidP="00BE189B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statement </w:t>
      </w:r>
      <w:r w:rsidR="003C0FC8">
        <w:rPr>
          <w:rFonts w:ascii="Times New Roman" w:hAnsi="Times New Roman" w:cs="Times New Roman"/>
          <w:sz w:val="24"/>
          <w:szCs w:val="24"/>
        </w:rPr>
        <w:t>for Tommy to assess the long term financial viability of</w:t>
      </w:r>
      <w:r>
        <w:rPr>
          <w:rFonts w:ascii="Times New Roman" w:hAnsi="Times New Roman" w:cs="Times New Roman"/>
          <w:sz w:val="24"/>
          <w:szCs w:val="24"/>
        </w:rPr>
        <w:t xml:space="preserve"> the organization, showing separately the margin of each of the above</w:t>
      </w:r>
      <w:r w:rsidR="003C0FC8">
        <w:rPr>
          <w:rFonts w:ascii="Times New Roman" w:hAnsi="Times New Roman" w:cs="Times New Roman"/>
          <w:sz w:val="24"/>
          <w:szCs w:val="24"/>
        </w:rPr>
        <w:t xml:space="preserve"> three services.</w:t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3C0FC8" w:rsidRPr="003C0FC8" w:rsidRDefault="003C0FC8" w:rsidP="003C0FC8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LBPP service be discontinued? Why?</w:t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E189B" w:rsidRDefault="00BE189B" w:rsidP="00BE189B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factors that Tommy should consider before terminating LBPP service.</w:t>
      </w:r>
      <w:r w:rsidR="00377CE2">
        <w:rPr>
          <w:rFonts w:ascii="Times New Roman" w:hAnsi="Times New Roman" w:cs="Times New Roman"/>
          <w:sz w:val="24"/>
          <w:szCs w:val="24"/>
        </w:rPr>
        <w:tab/>
      </w:r>
      <w:r w:rsidR="00377CE2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77CE2" w:rsidRDefault="00377CE2" w:rsidP="00377CE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2E2F98">
        <w:rPr>
          <w:rFonts w:ascii="Times New Roman" w:hAnsi="Times New Roman" w:cs="Times New Roman"/>
          <w:b/>
          <w:sz w:val="28"/>
          <w:szCs w:val="28"/>
        </w:rPr>
        <w:lastRenderedPageBreak/>
        <w:t>Cost Accounting for Decision-making</w:t>
      </w:r>
    </w:p>
    <w:p w:rsidR="00377CE2" w:rsidRDefault="00377CE2" w:rsidP="00377CE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 Study</w:t>
      </w:r>
    </w:p>
    <w:p w:rsidR="00377CE2" w:rsidRPr="00377CE2" w:rsidRDefault="00377CE2" w:rsidP="00377CE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7CE2">
        <w:rPr>
          <w:rFonts w:ascii="Times New Roman" w:hAnsi="Times New Roman" w:cs="Times New Roman"/>
          <w:sz w:val="28"/>
          <w:szCs w:val="28"/>
          <w:u w:val="single"/>
        </w:rPr>
        <w:t>Suggested Solution</w:t>
      </w:r>
    </w:p>
    <w:p w:rsidR="0066086E" w:rsidRPr="00377CE2" w:rsidRDefault="0066086E" w:rsidP="00377CE2">
      <w:pPr>
        <w:rPr>
          <w:rFonts w:ascii="Times New Roman" w:eastAsia="DengXian" w:hAnsi="Times New Roman" w:cs="Times New Roman"/>
          <w:sz w:val="24"/>
          <w:szCs w:val="24"/>
        </w:rPr>
      </w:pPr>
    </w:p>
    <w:p w:rsidR="003D257C" w:rsidRDefault="00013E48" w:rsidP="003D257C">
      <w:pPr>
        <w:pStyle w:val="NumberedPart"/>
        <w:tabs>
          <w:tab w:val="clear" w:pos="360"/>
          <w:tab w:val="left" w:pos="426"/>
        </w:tabs>
        <w:ind w:left="567" w:hanging="567"/>
        <w:jc w:val="both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 xml:space="preserve"> </w:t>
      </w:r>
      <w:r w:rsidR="00852B3B">
        <w:rPr>
          <w:rFonts w:ascii="Times New Roman" w:hAnsi="Times New Roman"/>
          <w:color w:val="auto"/>
          <w:kern w:val="1"/>
          <w:sz w:val="24"/>
          <w:szCs w:val="24"/>
        </w:rPr>
        <w:t>(</w:t>
      </w:r>
      <w:r>
        <w:rPr>
          <w:rFonts w:ascii="Times New Roman" w:hAnsi="Times New Roman"/>
          <w:color w:val="auto"/>
          <w:kern w:val="1"/>
          <w:sz w:val="24"/>
          <w:szCs w:val="24"/>
        </w:rPr>
        <w:t>a</w:t>
      </w:r>
      <w:r w:rsidR="00852B3B">
        <w:rPr>
          <w:rFonts w:ascii="Times New Roman" w:hAnsi="Times New Roman"/>
          <w:color w:val="auto"/>
          <w:kern w:val="1"/>
          <w:sz w:val="24"/>
          <w:szCs w:val="24"/>
        </w:rPr>
        <w:t>)</w:t>
      </w:r>
      <w:r w:rsidR="0066086E" w:rsidRPr="0066086E">
        <w:rPr>
          <w:rFonts w:ascii="Times New Roman" w:hAnsi="Times New Roman"/>
          <w:color w:val="auto"/>
          <w:kern w:val="1"/>
          <w:sz w:val="24"/>
          <w:szCs w:val="24"/>
        </w:rPr>
        <w:tab/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558"/>
        <w:gridCol w:w="9"/>
        <w:gridCol w:w="4820"/>
        <w:gridCol w:w="1134"/>
        <w:gridCol w:w="1134"/>
        <w:gridCol w:w="1134"/>
        <w:gridCol w:w="1105"/>
      </w:tblGrid>
      <w:tr w:rsidR="003D257C" w:rsidTr="00FC71B3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LBPP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D257C" w:rsidTr="00FC71B3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$’000</w:t>
            </w:r>
          </w:p>
        </w:tc>
      </w:tr>
      <w:tr w:rsidR="003D257C" w:rsidTr="00FC71B3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Revenues (Includes donation from that service)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3D257C" w:rsidTr="00FC71B3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Less: Variable expenses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D257C" w:rsidTr="00FC71B3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margin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D257C" w:rsidTr="00FC71B3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Less: </w:t>
            </w:r>
            <w:r w:rsidRPr="0066086E">
              <w:rPr>
                <w:rFonts w:ascii="Times New Roman" w:hAnsi="Times New Roman"/>
                <w:kern w:val="1"/>
                <w:sz w:val="24"/>
                <w:szCs w:val="24"/>
              </w:rPr>
              <w:t>Traceable fixed expenses: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9A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7C" w:rsidTr="00FC71B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FC71B3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D257C" w:rsidTr="00FC71B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FC71B3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257C" w:rsidTr="000E220C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57C" w:rsidRDefault="00FC71B3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D257C" w:rsidTr="000E220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FE7EF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margins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57C" w:rsidRDefault="00FC71B3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57C" w:rsidRDefault="00FC71B3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57C" w:rsidRDefault="00FC71B3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57C" w:rsidRDefault="00FC71B3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3D257C" w:rsidTr="000E220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57C" w:rsidRDefault="00FC71B3" w:rsidP="003D257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Less: Common fixed expenses</w:t>
            </w:r>
            <w:r w:rsidR="00FE7E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3D257C" w:rsidRDefault="003D257C" w:rsidP="003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B3" w:rsidTr="000E220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C71B3" w:rsidTr="00310F05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administrative overhead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71B3" w:rsidTr="00013E48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C71B3" w:rsidRDefault="00FC71B3" w:rsidP="00FC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FE7EFC" w:rsidRDefault="00FE7EFC" w:rsidP="00FE7EFC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320" w:lineRule="exact"/>
        <w:ind w:hanging="720"/>
        <w:textAlignment w:val="baseline"/>
        <w:rPr>
          <w:rFonts w:ascii="Times New Roman" w:hAnsi="Times New Roman"/>
          <w:kern w:val="1"/>
          <w:sz w:val="24"/>
          <w:szCs w:val="24"/>
        </w:rPr>
      </w:pPr>
      <w:bookmarkStart w:id="6" w:name="_Hlk491347308"/>
      <w:r>
        <w:rPr>
          <w:rFonts w:ascii="Times New Roman" w:hAnsi="Times New Roman"/>
          <w:kern w:val="1"/>
          <w:sz w:val="24"/>
          <w:szCs w:val="24"/>
        </w:rPr>
        <w:tab/>
      </w:r>
    </w:p>
    <w:p w:rsidR="00FE7EFC" w:rsidRDefault="00FE7EFC" w:rsidP="00FE7EFC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320" w:lineRule="exact"/>
        <w:ind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</w:pPr>
      <w:r>
        <w:rPr>
          <w:rFonts w:ascii="Times New Roman" w:hAnsi="Times New Roman"/>
          <w:kern w:val="1"/>
          <w:sz w:val="24"/>
          <w:szCs w:val="24"/>
        </w:rPr>
        <w:tab/>
        <w:t xml:space="preserve">*Remark: </w:t>
      </w:r>
      <w:r w:rsidRPr="0066086E">
        <w:rPr>
          <w:rFonts w:ascii="Times New Roman" w:hAnsi="Times New Roman"/>
          <w:kern w:val="1"/>
          <w:sz w:val="24"/>
          <w:szCs w:val="24"/>
        </w:rPr>
        <w:t xml:space="preserve">To </w:t>
      </w:r>
      <w:r>
        <w:rPr>
          <w:rFonts w:ascii="Times New Roman" w:hAnsi="Times New Roman"/>
          <w:kern w:val="1"/>
          <w:sz w:val="24"/>
          <w:szCs w:val="24"/>
        </w:rPr>
        <w:t>help Tommy has a</w:t>
      </w:r>
      <w:r w:rsidRPr="0066086E">
        <w:rPr>
          <w:rFonts w:ascii="Times New Roman" w:hAnsi="Times New Roman"/>
          <w:kern w:val="1"/>
          <w:sz w:val="24"/>
          <w:szCs w:val="24"/>
        </w:rPr>
        <w:t xml:space="preserve"> clear picture of the financial viability of each of the </w:t>
      </w:r>
      <w:r>
        <w:rPr>
          <w:rFonts w:ascii="Times New Roman" w:hAnsi="Times New Roman"/>
          <w:kern w:val="1"/>
          <w:sz w:val="24"/>
          <w:szCs w:val="24"/>
        </w:rPr>
        <w:t>organization’s services,</w:t>
      </w:r>
      <w:r w:rsidRPr="0066086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rent and </w:t>
      </w:r>
      <w:r w:rsidRPr="0066086E">
        <w:rPr>
          <w:rFonts w:ascii="Times New Roman" w:hAnsi="Times New Roman"/>
          <w:kern w:val="1"/>
          <w:sz w:val="24"/>
          <w:szCs w:val="24"/>
        </w:rPr>
        <w:t xml:space="preserve">general administrative overhead should not be allocated. </w:t>
      </w:r>
      <w:r>
        <w:rPr>
          <w:rFonts w:ascii="Times New Roman" w:hAnsi="Times New Roman"/>
          <w:kern w:val="1"/>
          <w:sz w:val="24"/>
          <w:szCs w:val="24"/>
        </w:rPr>
        <w:t xml:space="preserve">They are </w:t>
      </w:r>
      <w:r w:rsidRPr="0066086E">
        <w:rPr>
          <w:rFonts w:ascii="Times New Roman" w:hAnsi="Times New Roman"/>
          <w:kern w:val="1"/>
          <w:sz w:val="24"/>
          <w:szCs w:val="24"/>
        </w:rPr>
        <w:t>common cost</w:t>
      </w:r>
      <w:r>
        <w:rPr>
          <w:rFonts w:ascii="Times New Roman" w:hAnsi="Times New Roman"/>
          <w:kern w:val="1"/>
          <w:sz w:val="24"/>
          <w:szCs w:val="24"/>
        </w:rPr>
        <w:t>s</w:t>
      </w:r>
      <w:r w:rsidRPr="0066086E">
        <w:rPr>
          <w:rFonts w:ascii="Times New Roman" w:hAnsi="Times New Roman"/>
          <w:kern w:val="1"/>
          <w:sz w:val="24"/>
          <w:szCs w:val="24"/>
        </w:rPr>
        <w:t xml:space="preserve"> that should be deducted from the total </w:t>
      </w:r>
      <w:r>
        <w:rPr>
          <w:rFonts w:ascii="Times New Roman" w:hAnsi="Times New Roman"/>
          <w:kern w:val="1"/>
          <w:sz w:val="24"/>
          <w:szCs w:val="24"/>
        </w:rPr>
        <w:t xml:space="preserve">service </w:t>
      </w:r>
      <w:r w:rsidRPr="0066086E">
        <w:rPr>
          <w:rFonts w:ascii="Times New Roman" w:hAnsi="Times New Roman"/>
          <w:kern w:val="1"/>
          <w:sz w:val="24"/>
          <w:szCs w:val="24"/>
        </w:rPr>
        <w:t>segment margin.</w:t>
      </w:r>
    </w:p>
    <w:p w:rsidR="00013E48" w:rsidRDefault="00013E48" w:rsidP="00013E48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320" w:lineRule="exact"/>
        <w:ind w:hanging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(8 marks)</w:t>
      </w:r>
    </w:p>
    <w:bookmarkEnd w:id="6"/>
    <w:p w:rsidR="00013E48" w:rsidRPr="00AE5E74" w:rsidRDefault="00013E48" w:rsidP="00013E48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320" w:lineRule="exact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</w:pPr>
      <w:r w:rsidRPr="00AE5E74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b</w:t>
      </w:r>
      <w:r w:rsidRPr="00AE5E74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)</w:t>
      </w:r>
      <w:r w:rsidRPr="00AE5E74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ab/>
        <w:t xml:space="preserve">Impact of dropping </w:t>
      </w:r>
      <w:r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LBPP service </w:t>
      </w:r>
      <w:r w:rsidRPr="00AE5E74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net </w:t>
      </w:r>
      <w:r w:rsidRPr="00AE5E74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income:</w:t>
      </w:r>
    </w:p>
    <w:p w:rsidR="00013E48" w:rsidRPr="00AE5E74" w:rsidRDefault="00013E48" w:rsidP="00013E48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6521"/>
        <w:gridCol w:w="1030"/>
      </w:tblGrid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1030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$’000</w:t>
            </w: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Reduction in contribution margin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if LBPP terminates: </w:t>
            </w:r>
          </w:p>
        </w:tc>
        <w:tc>
          <w:tcPr>
            <w:tcW w:w="1030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(100)</w:t>
            </w: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Cost savings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from tracable fixed costs</w:t>
            </w: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:</w:t>
            </w:r>
          </w:p>
        </w:tc>
        <w:tc>
          <w:tcPr>
            <w:tcW w:w="1030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1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Insurance</w:t>
            </w:r>
          </w:p>
        </w:tc>
        <w:tc>
          <w:tcPr>
            <w:tcW w:w="1030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35</w:t>
            </w: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1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 </w:t>
            </w:r>
            <w:r w:rsidR="00D0007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alaries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33</w:t>
            </w:r>
          </w:p>
        </w:tc>
      </w:tr>
      <w:tr w:rsidR="00013E48" w:rsidRPr="00A03585" w:rsidTr="009A4F92">
        <w:trPr>
          <w:cantSplit/>
        </w:trPr>
        <w:tc>
          <w:tcPr>
            <w:tcW w:w="459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bookmarkStart w:id="7" w:name="_Hlk489965558"/>
          </w:p>
        </w:tc>
        <w:tc>
          <w:tcPr>
            <w:tcW w:w="6521" w:type="dxa"/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De</w:t>
            </w: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crease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net</w:t>
            </w:r>
            <w:r w:rsidRPr="00A03585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income</w:t>
            </w:r>
          </w:p>
        </w:tc>
        <w:tc>
          <w:tcPr>
            <w:tcW w:w="1030" w:type="dxa"/>
            <w:tcBorders>
              <w:top w:val="single" w:sz="4" w:space="0" w:color="auto"/>
              <w:bottom w:val="double" w:sz="4" w:space="0" w:color="auto"/>
            </w:tcBorders>
          </w:tcPr>
          <w:p w:rsidR="00013E48" w:rsidRPr="00A03585" w:rsidRDefault="00013E48" w:rsidP="009A4F9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32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(32)</w:t>
            </w:r>
          </w:p>
        </w:tc>
      </w:tr>
      <w:bookmarkEnd w:id="7"/>
    </w:tbl>
    <w:p w:rsidR="00013E48" w:rsidRDefault="00013E48" w:rsidP="00013E48">
      <w:pPr>
        <w:pStyle w:val="NumberedPart"/>
        <w:tabs>
          <w:tab w:val="clear" w:pos="120"/>
          <w:tab w:val="clear" w:pos="696"/>
          <w:tab w:val="decimal" w:pos="567"/>
        </w:tabs>
        <w:ind w:left="1200" w:hanging="633"/>
        <w:rPr>
          <w:rFonts w:ascii="Times New Roman" w:hAnsi="Times New Roman"/>
          <w:color w:val="auto"/>
          <w:kern w:val="1"/>
          <w:sz w:val="24"/>
          <w:szCs w:val="24"/>
        </w:rPr>
      </w:pPr>
    </w:p>
    <w:p w:rsidR="00013E48" w:rsidRPr="0066086E" w:rsidRDefault="00FE7EFC" w:rsidP="00013E48">
      <w:pPr>
        <w:pStyle w:val="NumberedPart"/>
        <w:tabs>
          <w:tab w:val="clear" w:pos="120"/>
          <w:tab w:val="clear" w:pos="696"/>
          <w:tab w:val="decimal" w:pos="567"/>
        </w:tabs>
        <w:ind w:left="567" w:firstLine="0"/>
        <w:jc w:val="both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 xml:space="preserve">As shown from the above calculation, </w:t>
      </w:r>
      <w:r w:rsidR="00013E48">
        <w:rPr>
          <w:rFonts w:ascii="Times New Roman" w:hAnsi="Times New Roman"/>
          <w:color w:val="auto"/>
          <w:kern w:val="1"/>
          <w:sz w:val="24"/>
          <w:szCs w:val="24"/>
        </w:rPr>
        <w:t xml:space="preserve">LBPP service </w:t>
      </w:r>
      <w:r w:rsidR="00013E48"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should not be </w:t>
      </w:r>
      <w:r w:rsidR="00013E48">
        <w:rPr>
          <w:rFonts w:ascii="Times New Roman" w:hAnsi="Times New Roman"/>
          <w:color w:val="auto"/>
          <w:kern w:val="1"/>
          <w:sz w:val="24"/>
          <w:szCs w:val="24"/>
        </w:rPr>
        <w:t>terminated</w:t>
      </w:r>
      <w:r w:rsidR="00013E48"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kern w:val="1"/>
          <w:sz w:val="24"/>
          <w:szCs w:val="24"/>
        </w:rPr>
        <w:t xml:space="preserve">It is because if </w:t>
      </w:r>
      <w:r w:rsidR="00013E48">
        <w:rPr>
          <w:rFonts w:ascii="Times New Roman" w:hAnsi="Times New Roman"/>
          <w:color w:val="auto"/>
          <w:kern w:val="1"/>
          <w:sz w:val="24"/>
          <w:szCs w:val="24"/>
        </w:rPr>
        <w:t>this service</w:t>
      </w:r>
      <w:r>
        <w:rPr>
          <w:rFonts w:ascii="Times New Roman" w:hAnsi="Times New Roman"/>
          <w:color w:val="auto"/>
          <w:kern w:val="1"/>
          <w:sz w:val="24"/>
          <w:szCs w:val="24"/>
        </w:rPr>
        <w:t xml:space="preserve"> is dropped</w:t>
      </w:r>
      <w:r w:rsidR="00013E48">
        <w:rPr>
          <w:rFonts w:ascii="Times New Roman" w:hAnsi="Times New Roman"/>
          <w:color w:val="auto"/>
          <w:kern w:val="1"/>
          <w:sz w:val="24"/>
          <w:szCs w:val="24"/>
        </w:rPr>
        <w:t xml:space="preserve">, the </w:t>
      </w:r>
      <w:r>
        <w:rPr>
          <w:rFonts w:ascii="Times New Roman" w:hAnsi="Times New Roman"/>
          <w:color w:val="auto"/>
          <w:kern w:val="1"/>
          <w:sz w:val="24"/>
          <w:szCs w:val="24"/>
        </w:rPr>
        <w:t xml:space="preserve">overall </w:t>
      </w:r>
      <w:r w:rsidR="00013E48">
        <w:rPr>
          <w:rFonts w:ascii="Times New Roman" w:hAnsi="Times New Roman"/>
          <w:color w:val="auto"/>
          <w:kern w:val="1"/>
          <w:sz w:val="24"/>
          <w:szCs w:val="24"/>
        </w:rPr>
        <w:t xml:space="preserve">net income will be decreased by $32,000. </w:t>
      </w:r>
    </w:p>
    <w:p w:rsidR="00013E48" w:rsidRPr="0066086E" w:rsidRDefault="00013E48" w:rsidP="00013E48">
      <w:pPr>
        <w:pStyle w:val="6pointlinespace"/>
        <w:jc w:val="both"/>
        <w:rPr>
          <w:rFonts w:ascii="Times New Roman" w:hAnsi="Times New Roman"/>
          <w:kern w:val="1"/>
          <w:sz w:val="24"/>
        </w:rPr>
      </w:pPr>
    </w:p>
    <w:p w:rsidR="00013E48" w:rsidRPr="0066086E" w:rsidRDefault="00013E48" w:rsidP="00013E48">
      <w:pPr>
        <w:pStyle w:val="6pointlinespace"/>
        <w:ind w:left="426"/>
        <w:jc w:val="both"/>
        <w:rPr>
          <w:rFonts w:ascii="Times New Roman" w:hAnsi="Times New Roman"/>
          <w:kern w:val="1"/>
          <w:sz w:val="24"/>
        </w:rPr>
      </w:pPr>
    </w:p>
    <w:p w:rsidR="005163CD" w:rsidRDefault="00013E48" w:rsidP="00D00074">
      <w:pPr>
        <w:pStyle w:val="NumberedPart"/>
        <w:tabs>
          <w:tab w:val="clear" w:pos="360"/>
          <w:tab w:val="left" w:pos="567"/>
          <w:tab w:val="right" w:pos="10466"/>
        </w:tabs>
        <w:ind w:left="567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ab/>
      </w:r>
      <w:r w:rsidR="00FE7EFC">
        <w:rPr>
          <w:rFonts w:ascii="Times New Roman" w:hAnsi="Times New Roman"/>
          <w:color w:val="auto"/>
          <w:kern w:val="1"/>
          <w:sz w:val="24"/>
          <w:szCs w:val="24"/>
        </w:rPr>
        <w:t xml:space="preserve">Remarks: 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Depreciation </w:t>
      </w:r>
      <w:r>
        <w:rPr>
          <w:rFonts w:ascii="Times New Roman" w:hAnsi="Times New Roman"/>
          <w:color w:val="auto"/>
          <w:kern w:val="1"/>
          <w:sz w:val="24"/>
          <w:szCs w:val="24"/>
        </w:rPr>
        <w:t>for the printing machine i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s a sunk cost and the </w:t>
      </w:r>
      <w:r>
        <w:rPr>
          <w:rFonts w:ascii="Times New Roman" w:hAnsi="Times New Roman"/>
          <w:color w:val="auto"/>
          <w:kern w:val="1"/>
          <w:sz w:val="24"/>
          <w:szCs w:val="24"/>
        </w:rPr>
        <w:t>machine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 has no </w:t>
      </w:r>
      <w:r>
        <w:rPr>
          <w:rFonts w:ascii="Times New Roman" w:hAnsi="Times New Roman"/>
          <w:color w:val="auto"/>
          <w:kern w:val="1"/>
          <w:sz w:val="24"/>
          <w:szCs w:val="24"/>
        </w:rPr>
        <w:t>dispo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>sal value</w:t>
      </w:r>
      <w:r>
        <w:rPr>
          <w:rFonts w:ascii="Times New Roman" w:hAnsi="Times New Roman"/>
          <w:color w:val="auto"/>
          <w:kern w:val="1"/>
          <w:sz w:val="24"/>
          <w:szCs w:val="24"/>
        </w:rPr>
        <w:t>.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 The </w:t>
      </w:r>
      <w:r>
        <w:rPr>
          <w:rFonts w:ascii="Times New Roman" w:hAnsi="Times New Roman"/>
          <w:color w:val="auto"/>
          <w:kern w:val="1"/>
          <w:sz w:val="24"/>
          <w:szCs w:val="24"/>
        </w:rPr>
        <w:t xml:space="preserve">rent and 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general administrative overhead </w:t>
      </w:r>
      <w:r>
        <w:rPr>
          <w:rFonts w:ascii="Times New Roman" w:hAnsi="Times New Roman"/>
          <w:color w:val="auto"/>
          <w:kern w:val="1"/>
          <w:sz w:val="24"/>
          <w:szCs w:val="24"/>
        </w:rPr>
        <w:t>are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 allocated and </w:t>
      </w:r>
      <w:r>
        <w:rPr>
          <w:rFonts w:ascii="Times New Roman" w:hAnsi="Times New Roman"/>
          <w:color w:val="auto"/>
          <w:kern w:val="1"/>
          <w:sz w:val="24"/>
          <w:szCs w:val="24"/>
        </w:rPr>
        <w:t>cannot be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 avoided if </w:t>
      </w:r>
      <w:bookmarkStart w:id="8" w:name="_Hlk491347621"/>
      <w:r>
        <w:rPr>
          <w:rFonts w:ascii="Times New Roman" w:hAnsi="Times New Roman"/>
          <w:color w:val="auto"/>
          <w:kern w:val="1"/>
          <w:sz w:val="24"/>
          <w:szCs w:val="24"/>
        </w:rPr>
        <w:t xml:space="preserve">LBPP service </w:t>
      </w:r>
      <w:bookmarkEnd w:id="8"/>
      <w:r>
        <w:rPr>
          <w:rFonts w:ascii="Times New Roman" w:hAnsi="Times New Roman"/>
          <w:color w:val="auto"/>
          <w:kern w:val="1"/>
          <w:sz w:val="24"/>
          <w:szCs w:val="24"/>
        </w:rPr>
        <w:t>is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 dropped; </w:t>
      </w:r>
      <w:r>
        <w:rPr>
          <w:rFonts w:ascii="Times New Roman" w:hAnsi="Times New Roman"/>
          <w:color w:val="auto"/>
          <w:kern w:val="1"/>
          <w:sz w:val="24"/>
          <w:szCs w:val="24"/>
        </w:rPr>
        <w:t>therefore, they are</w:t>
      </w:r>
      <w:r w:rsidRPr="0066086E">
        <w:rPr>
          <w:rFonts w:ascii="Times New Roman" w:hAnsi="Times New Roman"/>
          <w:color w:val="auto"/>
          <w:kern w:val="1"/>
          <w:sz w:val="24"/>
          <w:szCs w:val="24"/>
        </w:rPr>
        <w:t xml:space="preserve"> not relevant to the decision.</w:t>
      </w:r>
      <w:bookmarkStart w:id="9" w:name="_Hlk491348215"/>
      <w:r w:rsidR="00D00074">
        <w:rPr>
          <w:rFonts w:ascii="Times New Roman" w:hAnsi="Times New Roman"/>
          <w:color w:val="auto"/>
          <w:kern w:val="1"/>
          <w:sz w:val="24"/>
          <w:szCs w:val="24"/>
        </w:rPr>
        <w:tab/>
      </w:r>
      <w:r w:rsidR="005163CD">
        <w:rPr>
          <w:rFonts w:ascii="Times New Roman" w:hAnsi="Times New Roman"/>
          <w:sz w:val="24"/>
          <w:szCs w:val="24"/>
          <w:lang w:val="pt-PT"/>
        </w:rPr>
        <w:t>(8 marks)</w:t>
      </w:r>
      <w:bookmarkEnd w:id="9"/>
    </w:p>
    <w:p w:rsidR="00310F05" w:rsidRDefault="00310F05" w:rsidP="005163CD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320" w:lineRule="exact"/>
        <w:ind w:hanging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</w:pPr>
    </w:p>
    <w:p w:rsidR="005F38F0" w:rsidRDefault="005F38F0" w:rsidP="00D00074">
      <w:pPr>
        <w:pStyle w:val="a3"/>
        <w:numPr>
          <w:ilvl w:val="0"/>
          <w:numId w:val="3"/>
        </w:numPr>
        <w:tabs>
          <w:tab w:val="left" w:pos="567"/>
          <w:tab w:val="right" w:pos="10466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Citizen Association (SCA) is a non-profit making organization </w:t>
      </w:r>
      <w:r w:rsidR="00FE7EFC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serves the seniors in this community. </w:t>
      </w:r>
      <w:r>
        <w:rPr>
          <w:rFonts w:ascii="Times New Roman" w:hAnsi="Times New Roman"/>
          <w:kern w:val="1"/>
          <w:sz w:val="24"/>
          <w:szCs w:val="24"/>
        </w:rPr>
        <w:t xml:space="preserve">LBPP service </w:t>
      </w:r>
      <w:r w:rsidR="00FE7EFC">
        <w:rPr>
          <w:rFonts w:ascii="Times New Roman" w:hAnsi="Times New Roman"/>
          <w:kern w:val="1"/>
          <w:sz w:val="24"/>
          <w:szCs w:val="24"/>
        </w:rPr>
        <w:t>gathers</w:t>
      </w:r>
      <w:r>
        <w:rPr>
          <w:rFonts w:ascii="Times New Roman" w:hAnsi="Times New Roman"/>
          <w:kern w:val="1"/>
          <w:sz w:val="24"/>
          <w:szCs w:val="24"/>
        </w:rPr>
        <w:t xml:space="preserve"> life experience and wisdom of seniors. It can also be shared with their families, friends, and bec</w:t>
      </w:r>
      <w:r w:rsidR="00D00074">
        <w:rPr>
          <w:rFonts w:ascii="Times New Roman" w:hAnsi="Times New Roman"/>
          <w:kern w:val="1"/>
          <w:sz w:val="24"/>
          <w:szCs w:val="24"/>
        </w:rPr>
        <w:t xml:space="preserve">ome </w:t>
      </w:r>
      <w:r>
        <w:rPr>
          <w:rFonts w:ascii="Times New Roman" w:hAnsi="Times New Roman"/>
          <w:kern w:val="1"/>
          <w:sz w:val="24"/>
          <w:szCs w:val="24"/>
        </w:rPr>
        <w:t>part of the valuable memories</w:t>
      </w:r>
      <w:r w:rsidR="00310F05">
        <w:rPr>
          <w:rFonts w:ascii="Times New Roman" w:hAnsi="Times New Roman"/>
          <w:kern w:val="1"/>
          <w:sz w:val="24"/>
          <w:szCs w:val="24"/>
        </w:rPr>
        <w:t xml:space="preserve"> for next generation. The mission for SCA is not profit maximisation, therefore Tommy should weigh non-financial factor</w:t>
      </w:r>
      <w:r w:rsidR="00D00074">
        <w:rPr>
          <w:rFonts w:ascii="Times New Roman" w:hAnsi="Times New Roman"/>
          <w:kern w:val="1"/>
          <w:sz w:val="24"/>
          <w:szCs w:val="24"/>
        </w:rPr>
        <w:t>s</w:t>
      </w:r>
      <w:r w:rsidR="00310F05">
        <w:rPr>
          <w:rFonts w:ascii="Times New Roman" w:hAnsi="Times New Roman"/>
          <w:kern w:val="1"/>
          <w:sz w:val="24"/>
          <w:szCs w:val="24"/>
        </w:rPr>
        <w:t xml:space="preserve"> more than financial factor</w:t>
      </w:r>
      <w:r w:rsidR="00D00074">
        <w:rPr>
          <w:rFonts w:ascii="Times New Roman" w:hAnsi="Times New Roman"/>
          <w:kern w:val="1"/>
          <w:sz w:val="24"/>
          <w:szCs w:val="24"/>
        </w:rPr>
        <w:t>s when he makes decision</w:t>
      </w:r>
      <w:r w:rsidR="00310F05">
        <w:rPr>
          <w:rFonts w:ascii="Times New Roman" w:hAnsi="Times New Roman"/>
          <w:kern w:val="1"/>
          <w:sz w:val="24"/>
          <w:szCs w:val="24"/>
        </w:rPr>
        <w:t>.</w:t>
      </w:r>
      <w:r w:rsidR="00D00074">
        <w:rPr>
          <w:rFonts w:ascii="Times New Roman" w:hAnsi="Times New Roman"/>
          <w:kern w:val="1"/>
          <w:sz w:val="24"/>
          <w:szCs w:val="24"/>
        </w:rPr>
        <w:t xml:space="preserve"> </w:t>
      </w:r>
      <w:r w:rsidR="00D00074">
        <w:rPr>
          <w:rFonts w:ascii="Times New Roman" w:hAnsi="Times New Roman"/>
          <w:kern w:val="1"/>
          <w:sz w:val="24"/>
          <w:szCs w:val="24"/>
        </w:rPr>
        <w:tab/>
      </w:r>
      <w:r w:rsidR="00D00074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(4 marks)</w:t>
      </w:r>
    </w:p>
    <w:p w:rsidR="00D00074" w:rsidRDefault="00D00074" w:rsidP="00310F05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310F05" w:rsidRPr="0066086E" w:rsidRDefault="00D00074" w:rsidP="00310F05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F05">
        <w:rPr>
          <w:rFonts w:ascii="Times New Roman" w:hAnsi="Times New Roman" w:cs="Times New Roman"/>
          <w:sz w:val="24"/>
          <w:szCs w:val="24"/>
        </w:rPr>
        <w:t>(Total: 20 marks)</w:t>
      </w:r>
    </w:p>
    <w:sectPr w:rsidR="00310F05" w:rsidRPr="0066086E" w:rsidSect="0088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AC" w:rsidRDefault="00023FAC" w:rsidP="00023FAC">
      <w:pPr>
        <w:spacing w:after="0" w:line="240" w:lineRule="auto"/>
      </w:pPr>
      <w:r>
        <w:separator/>
      </w:r>
    </w:p>
  </w:endnote>
  <w:endnote w:type="continuationSeparator" w:id="0">
    <w:p w:rsidR="00023FAC" w:rsidRDefault="00023FAC" w:rsidP="0002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AC" w:rsidRDefault="00023FAC" w:rsidP="00023FAC">
      <w:pPr>
        <w:spacing w:after="0" w:line="240" w:lineRule="auto"/>
      </w:pPr>
      <w:r>
        <w:separator/>
      </w:r>
    </w:p>
  </w:footnote>
  <w:footnote w:type="continuationSeparator" w:id="0">
    <w:p w:rsidR="00023FAC" w:rsidRDefault="00023FAC" w:rsidP="0002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A7D"/>
    <w:multiLevelType w:val="hybridMultilevel"/>
    <w:tmpl w:val="4D94A44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349F"/>
    <w:multiLevelType w:val="hybridMultilevel"/>
    <w:tmpl w:val="6AD4E396"/>
    <w:lvl w:ilvl="0" w:tplc="37D44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3E48"/>
    <w:multiLevelType w:val="hybridMultilevel"/>
    <w:tmpl w:val="1E642C4E"/>
    <w:lvl w:ilvl="0" w:tplc="4E464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4C2"/>
    <w:multiLevelType w:val="hybridMultilevel"/>
    <w:tmpl w:val="50263A2A"/>
    <w:lvl w:ilvl="0" w:tplc="5ECE7D02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920" w:hanging="360"/>
      </w:pPr>
    </w:lvl>
    <w:lvl w:ilvl="2" w:tplc="3C09001B" w:tentative="1">
      <w:start w:val="1"/>
      <w:numFmt w:val="lowerRoman"/>
      <w:lvlText w:val="%3."/>
      <w:lvlJc w:val="right"/>
      <w:pPr>
        <w:ind w:left="2640" w:hanging="180"/>
      </w:pPr>
    </w:lvl>
    <w:lvl w:ilvl="3" w:tplc="3C09000F" w:tentative="1">
      <w:start w:val="1"/>
      <w:numFmt w:val="decimal"/>
      <w:lvlText w:val="%4."/>
      <w:lvlJc w:val="left"/>
      <w:pPr>
        <w:ind w:left="3360" w:hanging="360"/>
      </w:pPr>
    </w:lvl>
    <w:lvl w:ilvl="4" w:tplc="3C090019" w:tentative="1">
      <w:start w:val="1"/>
      <w:numFmt w:val="lowerLetter"/>
      <w:lvlText w:val="%5."/>
      <w:lvlJc w:val="left"/>
      <w:pPr>
        <w:ind w:left="4080" w:hanging="360"/>
      </w:pPr>
    </w:lvl>
    <w:lvl w:ilvl="5" w:tplc="3C09001B" w:tentative="1">
      <w:start w:val="1"/>
      <w:numFmt w:val="lowerRoman"/>
      <w:lvlText w:val="%6."/>
      <w:lvlJc w:val="right"/>
      <w:pPr>
        <w:ind w:left="4800" w:hanging="180"/>
      </w:pPr>
    </w:lvl>
    <w:lvl w:ilvl="6" w:tplc="3C09000F" w:tentative="1">
      <w:start w:val="1"/>
      <w:numFmt w:val="decimal"/>
      <w:lvlText w:val="%7."/>
      <w:lvlJc w:val="left"/>
      <w:pPr>
        <w:ind w:left="5520" w:hanging="360"/>
      </w:pPr>
    </w:lvl>
    <w:lvl w:ilvl="7" w:tplc="3C090019" w:tentative="1">
      <w:start w:val="1"/>
      <w:numFmt w:val="lowerLetter"/>
      <w:lvlText w:val="%8."/>
      <w:lvlJc w:val="left"/>
      <w:pPr>
        <w:ind w:left="6240" w:hanging="360"/>
      </w:pPr>
    </w:lvl>
    <w:lvl w:ilvl="8" w:tplc="3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C877F68"/>
    <w:multiLevelType w:val="hybridMultilevel"/>
    <w:tmpl w:val="0B4A5352"/>
    <w:lvl w:ilvl="0" w:tplc="0284C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0"/>
    <w:rsid w:val="00013E48"/>
    <w:rsid w:val="00023FAC"/>
    <w:rsid w:val="000352D0"/>
    <w:rsid w:val="000554BA"/>
    <w:rsid w:val="000B4F6B"/>
    <w:rsid w:val="000E220C"/>
    <w:rsid w:val="00155A7A"/>
    <w:rsid w:val="00163970"/>
    <w:rsid w:val="001A70D2"/>
    <w:rsid w:val="00213FEE"/>
    <w:rsid w:val="002F07BA"/>
    <w:rsid w:val="00310F05"/>
    <w:rsid w:val="00377CE2"/>
    <w:rsid w:val="003C0FC8"/>
    <w:rsid w:val="003D257C"/>
    <w:rsid w:val="003E5C0A"/>
    <w:rsid w:val="00421026"/>
    <w:rsid w:val="00445000"/>
    <w:rsid w:val="00506329"/>
    <w:rsid w:val="005155B6"/>
    <w:rsid w:val="005163CD"/>
    <w:rsid w:val="005F38F0"/>
    <w:rsid w:val="00607CAC"/>
    <w:rsid w:val="006125BA"/>
    <w:rsid w:val="00620CE7"/>
    <w:rsid w:val="0064172A"/>
    <w:rsid w:val="0066086E"/>
    <w:rsid w:val="007E2412"/>
    <w:rsid w:val="00821B7C"/>
    <w:rsid w:val="00852B3B"/>
    <w:rsid w:val="00881C18"/>
    <w:rsid w:val="008B2B6C"/>
    <w:rsid w:val="00980D6E"/>
    <w:rsid w:val="00A86D31"/>
    <w:rsid w:val="00A90A83"/>
    <w:rsid w:val="00AE13CC"/>
    <w:rsid w:val="00AE5E74"/>
    <w:rsid w:val="00B95F2D"/>
    <w:rsid w:val="00BB24F3"/>
    <w:rsid w:val="00BE189B"/>
    <w:rsid w:val="00D00074"/>
    <w:rsid w:val="00D03D45"/>
    <w:rsid w:val="00E554A3"/>
    <w:rsid w:val="00F17B4B"/>
    <w:rsid w:val="00F37866"/>
    <w:rsid w:val="00FC71B3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5ED69A-FF12-463F-B44E-1565325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7A"/>
    <w:pPr>
      <w:ind w:left="720"/>
      <w:contextualSpacing/>
    </w:pPr>
  </w:style>
  <w:style w:type="character" w:styleId="a4">
    <w:name w:val="Strong"/>
    <w:basedOn w:val="a0"/>
    <w:uiPriority w:val="22"/>
    <w:qFormat/>
    <w:rsid w:val="005155B6"/>
    <w:rPr>
      <w:b/>
      <w:bCs/>
    </w:rPr>
  </w:style>
  <w:style w:type="table" w:styleId="a5">
    <w:name w:val="Table Grid"/>
    <w:basedOn w:val="a1"/>
    <w:uiPriority w:val="39"/>
    <w:rsid w:val="00F3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ight">
    <w:name w:val="Text Right"/>
    <w:rsid w:val="0066086E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 w:eastAsia="en-US"/>
    </w:rPr>
  </w:style>
  <w:style w:type="paragraph" w:customStyle="1" w:styleId="NumberedPart">
    <w:name w:val="Numbered Part"/>
    <w:rsid w:val="0066086E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  <w:lang w:val="en-US" w:eastAsia="en-US"/>
    </w:rPr>
  </w:style>
  <w:style w:type="paragraph" w:customStyle="1" w:styleId="TextLeader">
    <w:name w:val="Text Leader"/>
    <w:basedOn w:val="a"/>
    <w:rsid w:val="0066086E"/>
    <w:pPr>
      <w:tabs>
        <w:tab w:val="left" w:pos="216"/>
        <w:tab w:val="left" w:pos="432"/>
        <w:tab w:val="right" w:leader="dot" w:pos="7200"/>
      </w:tabs>
      <w:spacing w:after="0" w:line="320" w:lineRule="exact"/>
      <w:ind w:left="216" w:right="172" w:hanging="216"/>
    </w:pPr>
    <w:rPr>
      <w:rFonts w:ascii="Tahoma" w:eastAsia="Times New Roman" w:hAnsi="Tahoma" w:cs="Tahoma"/>
      <w:sz w:val="28"/>
      <w:szCs w:val="20"/>
      <w:lang w:val="en-US" w:eastAsia="en-US"/>
    </w:rPr>
  </w:style>
  <w:style w:type="paragraph" w:customStyle="1" w:styleId="6pointlinespace">
    <w:name w:val="6 point line space"/>
    <w:basedOn w:val="a"/>
    <w:rsid w:val="0066086E"/>
    <w:pPr>
      <w:spacing w:after="0" w:line="120" w:lineRule="exact"/>
    </w:pPr>
    <w:rPr>
      <w:rFonts w:ascii="Tahoma" w:eastAsia="Times New Roman" w:hAnsi="Tahoma" w:cs="Times New Roman"/>
      <w:sz w:val="12"/>
      <w:szCs w:val="24"/>
      <w:lang w:val="en-US" w:eastAsia="en-US"/>
    </w:rPr>
  </w:style>
  <w:style w:type="paragraph" w:customStyle="1" w:styleId="ChapterNumber">
    <w:name w:val="Chapter Number"/>
    <w:rsid w:val="0066086E"/>
    <w:pPr>
      <w:widowControl w:val="0"/>
      <w:spacing w:after="0" w:line="580" w:lineRule="atLeast"/>
    </w:pPr>
    <w:rPr>
      <w:rFonts w:ascii="Tahoma" w:eastAsia="Times New Roman" w:hAnsi="Tahoma" w:cs="Times New Roman"/>
      <w:b/>
      <w:color w:val="000000"/>
      <w:sz w:val="48"/>
      <w:szCs w:val="20"/>
      <w:lang w:val="en-US" w:eastAsia="en-US"/>
    </w:rPr>
  </w:style>
  <w:style w:type="paragraph" w:customStyle="1" w:styleId="ColumnHead">
    <w:name w:val="Column Head"/>
    <w:basedOn w:val="a"/>
    <w:rsid w:val="0066086E"/>
    <w:pPr>
      <w:spacing w:after="0" w:line="240" w:lineRule="auto"/>
      <w:ind w:left="72" w:right="72"/>
      <w:jc w:val="center"/>
    </w:pPr>
    <w:rPr>
      <w:rFonts w:ascii="Tahoma" w:eastAsia="Times New Roman" w:hAnsi="Tahoma" w:cs="Times New Roman"/>
      <w:bCs/>
      <w:i/>
      <w:iCs/>
      <w:sz w:val="28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5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554BA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2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3FA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3F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cp:keywords/>
  <dc:description/>
  <cp:lastModifiedBy>CHAN, Wai-wun Clarie</cp:lastModifiedBy>
  <cp:revision>5</cp:revision>
  <cp:lastPrinted>2017-09-04T04:09:00Z</cp:lastPrinted>
  <dcterms:created xsi:type="dcterms:W3CDTF">2018-12-21T02:11:00Z</dcterms:created>
  <dcterms:modified xsi:type="dcterms:W3CDTF">2019-03-25T08:42:00Z</dcterms:modified>
</cp:coreProperties>
</file>